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t xml:space="preserve">A Space Mission Challenges for Information Technology - Space Computing Conference Closed (US Persons Only) Session is scheduled to be held at NASA Ames Research Center in Mountain View, CA on the Friday after the general IEEE SMC-IT/SCC meeting, July 19, from 8AM to 1PM PDT. </w:t>
      </w:r>
    </w:p>
    <w:p>
      <w:pPr>
        <w:pStyle w:val="NoSpacing"/>
        <w:rPr/>
      </w:pPr>
      <w:r>
        <w:rPr/>
      </w:r>
    </w:p>
    <w:p>
      <w:pPr>
        <w:pStyle w:val="NoSpacing"/>
        <w:rPr/>
      </w:pPr>
      <w:r>
        <w:rPr/>
        <w:t>Planned topics to be discussed span the breadth of Space Computing from fabrication, modern processor and avionics systems design and development activities, high performance application development targeting next generation processors, to current and future mission uses of advanced spaceborne computing systems.</w:t>
      </w:r>
    </w:p>
    <w:p>
      <w:pPr>
        <w:pStyle w:val="NoSpacing"/>
        <w:rPr/>
      </w:pPr>
      <w:r>
        <w:rPr/>
      </w:r>
    </w:p>
    <w:p>
      <w:pPr>
        <w:pStyle w:val="NoSpacing"/>
        <w:rPr/>
      </w:pPr>
      <w:r>
        <w:rPr/>
        <w:t xml:space="preserve">Attendance at the Closed Session is restricted to US Persons only, i.e. citizens and permanent residents. </w:t>
      </w:r>
    </w:p>
    <w:p>
      <w:pPr>
        <w:pStyle w:val="NoSpacing"/>
        <w:rPr/>
      </w:pPr>
      <w:r>
        <w:rPr/>
        <w:t>Both unclassified, public release and CUI-controlled presentations are planned.</w:t>
      </w:r>
    </w:p>
    <w:p>
      <w:pPr>
        <w:pStyle w:val="NoSpacing"/>
        <w:rPr/>
      </w:pPr>
      <w:r>
        <w:rPr/>
      </w:r>
    </w:p>
    <w:p>
      <w:pPr>
        <w:pStyle w:val="NoSpacing"/>
        <w:rPr/>
      </w:pPr>
      <w:r>
        <w:rPr/>
        <w:t>Attendance at the session is free, however there is a limit to the number of attendees the session can accept.</w:t>
      </w:r>
    </w:p>
    <w:p>
      <w:pPr>
        <w:pStyle w:val="NoSpacing"/>
        <w:rPr/>
      </w:pPr>
      <w:r>
        <w:rPr/>
      </w:r>
    </w:p>
    <w:p>
      <w:pPr>
        <w:pStyle w:val="NoSpacing"/>
        <w:rPr/>
      </w:pPr>
      <w:r>
        <w:rPr/>
        <w:t>Registration for the session is separate from the general IEEE SMC-IT/SCC meeting.  Registration for the general IEEE SMC-IT/SCC meeting (</w:t>
      </w:r>
      <w:hyperlink r:id="rId2">
        <w:r>
          <w:rPr>
            <w:rStyle w:val="InternetLink"/>
          </w:rPr>
          <w:t>https://smcit-scc.space</w:t>
        </w:r>
      </w:hyperlink>
      <w:r>
        <w:rPr/>
        <w:t>) is not required but encouraged.</w:t>
      </w:r>
    </w:p>
    <w:p>
      <w:pPr>
        <w:pStyle w:val="NoSpacing"/>
        <w:rPr/>
      </w:pPr>
      <w:r>
        <w:rPr/>
      </w:r>
    </w:p>
    <w:p>
      <w:pPr>
        <w:pStyle w:val="NoSpacing"/>
        <w:rPr>
          <w:color w:val="0000FF"/>
          <w:u w:val="single"/>
        </w:rPr>
      </w:pPr>
      <w:r>
        <w:rPr/>
        <w:t xml:space="preserve">To register for the 2024 SMC-IT/SCC Closed Session, please complete a registration form at the following URL:  </w:t>
      </w:r>
      <w:hyperlink r:id="rId3">
        <w:r>
          <w:rPr>
            <w:rStyle w:val="InternetLink"/>
            <w:rFonts w:eastAsia="Calibri" w:cs="Calibri"/>
            <w:color w:val="0000FF"/>
          </w:rPr>
          <w:t>https://forms.gle/HB1nm46WA2VeJLrZ8</w:t>
        </w:r>
      </w:hyperlink>
      <w:r>
        <w:rPr>
          <w:color w:val="0000FF"/>
          <w:u w:val="single"/>
        </w:rPr>
        <w:t xml:space="preserve"> .</w:t>
      </w:r>
    </w:p>
    <w:p>
      <w:pPr>
        <w:pStyle w:val="NoSpacing"/>
        <w:rPr/>
      </w:pPr>
      <w:r>
        <w:rPr/>
      </w:r>
    </w:p>
    <w:p>
      <w:pPr>
        <w:pStyle w:val="NoSpacing"/>
        <w:rPr>
          <w:b/>
          <w:b/>
          <w:bCs/>
        </w:rPr>
      </w:pPr>
      <w:r>
        <w:rPr/>
        <w:t xml:space="preserve">It is requested that attendees register for the Closed Session by </w:t>
      </w:r>
      <w:r>
        <w:rPr>
          <w:b/>
          <w:bCs/>
        </w:rPr>
        <w:t>Thursday, July 4.</w:t>
      </w:r>
    </w:p>
    <w:p>
      <w:pPr>
        <w:pStyle w:val="NoSpacing"/>
        <w:rPr/>
      </w:pPr>
      <w:r>
        <w:rPr/>
      </w:r>
    </w:p>
    <w:p>
      <w:pPr>
        <w:pStyle w:val="NoSpacing"/>
        <w:rPr/>
      </w:pPr>
      <w:r>
        <w:rPr/>
        <w:t>If you have further questions, please feel free to contact the SMC-IT/SCC Organizing Committee:</w:t>
      </w:r>
    </w:p>
    <w:tbl>
      <w:tblPr>
        <w:tblW w:w="9330"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963"/>
        <w:gridCol w:w="7367"/>
      </w:tblGrid>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Jim Butler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rPr>
              <w:t>NASA/Jet Propulsion Laboratory </w:t>
            </w:r>
          </w:p>
        </w:tc>
      </w:tr>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Michelle Carter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rPr>
              <w:t>The Aerospace Corporation </w:t>
            </w:r>
          </w:p>
        </w:tc>
      </w:tr>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Doug Enright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rPr>
              <w:t>The Aerospace Corporation </w:t>
            </w:r>
          </w:p>
        </w:tc>
      </w:tr>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Kenneth O’Neill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color w:val="000000"/>
              </w:rPr>
              <w:t>AMD </w:t>
            </w:r>
          </w:p>
        </w:tc>
      </w:tr>
    </w:tbl>
    <w:p>
      <w:pPr>
        <w:pStyle w:val="NoSpacing"/>
        <w:rPr>
          <w:rFonts w:ascii="Times New Roman" w:hAnsi="Times New Roman" w:eastAsia="Times New Roman" w:cs="Times New Roman"/>
        </w:rPr>
      </w:pPr>
      <w:r>
        <w:rPr>
          <w:rFonts w:eastAsia="Times New Roman"/>
        </w:rPr>
        <w:t> </w:t>
      </w:r>
    </w:p>
    <w:p>
      <w:pPr>
        <w:pStyle w:val="NoSpacing"/>
        <w:rPr>
          <w:rFonts w:ascii="Times New Roman" w:hAnsi="Times New Roman" w:eastAsia="Times New Roman" w:cs="Times New Roman"/>
        </w:rPr>
      </w:pPr>
      <w:r>
        <w:rPr>
          <w:rFonts w:eastAsia="Times New Roman"/>
        </w:rPr>
        <w:t>With </w:t>
      </w:r>
    </w:p>
    <w:p>
      <w:pPr>
        <w:pStyle w:val="NoSpacing"/>
        <w:rPr>
          <w:rFonts w:ascii="Times New Roman" w:hAnsi="Times New Roman" w:eastAsia="Times New Roman" w:cs="Times New Roman"/>
        </w:rPr>
      </w:pPr>
      <w:r>
        <w:rPr>
          <w:rFonts w:eastAsia="Times New Roman"/>
        </w:rPr>
        <w:t> </w:t>
      </w:r>
    </w:p>
    <w:tbl>
      <w:tblPr>
        <w:tblW w:w="9330"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963"/>
        <w:gridCol w:w="7367"/>
      </w:tblGrid>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Ivan Perez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rPr>
              <w:t>KBR, Inc @ NASA ARC</w:t>
            </w:r>
          </w:p>
        </w:tc>
      </w:tr>
      <w:tr>
        <w:trPr>
          <w:trHeight w:val="300" w:hRule="atLeast"/>
        </w:trPr>
        <w:tc>
          <w:tcPr>
            <w:tcW w:w="1963" w:type="dxa"/>
            <w:tcBorders/>
            <w:shd w:color="auto" w:fill="auto" w:val="clear"/>
          </w:tcPr>
          <w:p>
            <w:pPr>
              <w:pStyle w:val="NoSpacing"/>
              <w:widowControl w:val="false"/>
              <w:rPr>
                <w:rFonts w:ascii="Times New Roman" w:hAnsi="Times New Roman" w:eastAsia="Times New Roman" w:cs="Times New Roman"/>
              </w:rPr>
            </w:pPr>
            <w:r>
              <w:rPr>
                <w:rFonts w:eastAsia="Times New Roman"/>
              </w:rPr>
              <w:t>Wesley Powell </w:t>
            </w:r>
          </w:p>
        </w:tc>
        <w:tc>
          <w:tcPr>
            <w:tcW w:w="7367" w:type="dxa"/>
            <w:tcBorders/>
            <w:shd w:color="auto" w:fill="auto" w:val="clear"/>
          </w:tcPr>
          <w:p>
            <w:pPr>
              <w:pStyle w:val="NoSpacing"/>
              <w:widowControl w:val="false"/>
              <w:rPr>
                <w:rFonts w:ascii="Times New Roman" w:hAnsi="Times New Roman" w:eastAsia="Times New Roman" w:cs="Times New Roman"/>
              </w:rPr>
            </w:pPr>
            <w:r>
              <w:rPr>
                <w:rFonts w:eastAsia="Times New Roman"/>
              </w:rPr>
              <w:t>NASA/Goddard Space Flight Center </w:t>
            </w:r>
          </w:p>
        </w:tc>
      </w:tr>
    </w:tbl>
    <w:p>
      <w:pPr>
        <w:pStyle w:val="NoSpacing"/>
        <w:rPr>
          <w:rFonts w:ascii="Times New Roman" w:hAnsi="Times New Roman" w:eastAsia="Times New Roman" w:cs="Times New Roman"/>
        </w:rPr>
      </w:pPr>
      <w:r>
        <w:rPr>
          <w:rFonts w:eastAsia="Times New Roman"/>
        </w:rPr>
        <w:t>  </w:t>
      </w:r>
    </w:p>
    <w:p>
      <w:pPr>
        <w:pStyle w:val="Normal"/>
        <w:rPr>
          <w:rFonts w:ascii="Calibri" w:hAnsi="Calibri" w:eastAsia="Calibri" w:cs="Calibri"/>
          <w:color w:val="000000" w:themeColor="text1"/>
          <w:sz w:val="24"/>
          <w:szCs w:val="24"/>
        </w:rPr>
      </w:pPr>
      <w:r>
        <w:rPr>
          <w:rFonts w:eastAsia="Times New Roman" w:cs="Calibri"/>
          <w:color w:val="000000"/>
          <w:shd w:fill="FFFFFF" w:val="clear"/>
        </w:rPr>
        <w:br/>
      </w:r>
    </w:p>
    <w:p>
      <w:pPr>
        <w:pStyle w:val="Normal"/>
        <w:rPr>
          <w:rFonts w:ascii="Calibri" w:hAnsi="Calibri" w:eastAsia="Calibri" w:cs="Calibri"/>
          <w:color w:val="000000" w:themeColor="text1"/>
          <w:sz w:val="24"/>
          <w:szCs w:val="24"/>
        </w:rPr>
      </w:pPr>
      <w:r>
        <w:rPr>
          <w:rFonts w:eastAsia="Calibri" w:cs="Calibri"/>
          <w:color w:val="000000" w:themeColor="text1"/>
          <w:sz w:val="24"/>
          <w:szCs w:val="24"/>
        </w:rPr>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qFormat/>
    <w:rsid w:val="00397bab"/>
    <w:rPr/>
  </w:style>
  <w:style w:type="character" w:styleId="Eop" w:customStyle="1">
    <w:name w:val="eop"/>
    <w:basedOn w:val="DefaultParagraphFont"/>
    <w:qFormat/>
    <w:rsid w:val="00397bab"/>
    <w:rPr/>
  </w:style>
  <w:style w:type="character" w:styleId="VisitedInternetLink">
    <w:name w:val="FollowedHyperlink"/>
    <w:basedOn w:val="DefaultParagraphFont"/>
    <w:uiPriority w:val="99"/>
    <w:semiHidden/>
    <w:unhideWhenUsed/>
    <w:rsid w:val="00857387"/>
    <w:rPr>
      <w:color w:val="954F72" w:themeColor="followedHyperlink"/>
      <w:u w:val="single"/>
    </w:rPr>
  </w:style>
  <w:style w:type="character" w:styleId="UnresolvedMention">
    <w:name w:val="Unresolved Mention"/>
    <w:basedOn w:val="DefaultParagraphFont"/>
    <w:uiPriority w:val="99"/>
    <w:semiHidden/>
    <w:unhideWhenUsed/>
    <w:qFormat/>
    <w:rsid w:val="00db367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Spacing">
    <w:name w:val="No Spacing"/>
    <w:uiPriority w:val="1"/>
    <w:qFormat/>
    <w:rsid w:val="002a57e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Paragraph" w:customStyle="1">
    <w:name w:val="paragraph"/>
    <w:basedOn w:val="Normal"/>
    <w:qFormat/>
    <w:rsid w:val="00397ba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mcit-scc.space/" TargetMode="External"/><Relationship Id="rId3" Type="http://schemas.openxmlformats.org/officeDocument/2006/relationships/hyperlink" Target="https://forms.gle/HB1nm46WA2VeJLrZ8"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39AC84A7A1A499984D4E36D266E1B" ma:contentTypeVersion="" ma:contentTypeDescription="Create a new document." ma:contentTypeScope="" ma:versionID="2a1854ae8d2a0c2dc3790d79b13e0d34">
  <xsd:schema xmlns:xsd="http://www.w3.org/2001/XMLSchema" xmlns:xs="http://www.w3.org/2001/XMLSchema" xmlns:p="http://schemas.microsoft.com/office/2006/metadata/properties" xmlns:ns2="b8a7038e-93ee-4fba-a733-417b1dc1c133" xmlns:ns3="a9515ccf-8b3c-4dce-8969-96bbbaf5dc71" targetNamespace="http://schemas.microsoft.com/office/2006/metadata/properties" ma:root="true" ma:fieldsID="ee511abffbad0009d7db2942ddea5fc8" ns2:_="" ns3:_="">
    <xsd:import namespace="b8a7038e-93ee-4fba-a733-417b1dc1c133"/>
    <xsd:import namespace="a9515ccf-8b3c-4dce-8969-96bbbaf5dc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38e-93ee-4fba-a733-417b1dc1c1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17376C59-9708-42E8-A5EE-A418C167167B}" ma:internalName="TaxCatchAll" ma:showField="CatchAllData" ma:web="{d04cbd65-0f06-4ec5-9cdd-8d00f6e1d9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15ccf-8b3c-4dce-8969-96bbbaf5dc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afb212-bf30-4c1c-b910-2fbed6779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515ccf-8b3c-4dce-8969-96bbbaf5dc71">
      <Terms xmlns="http://schemas.microsoft.com/office/infopath/2007/PartnerControls"/>
    </lcf76f155ced4ddcb4097134ff3c332f>
    <TaxCatchAll xmlns="b8a7038e-93ee-4fba-a733-417b1dc1c133" xsi:nil="true"/>
  </documentManagement>
</p:properties>
</file>

<file path=customXml/itemProps1.xml><?xml version="1.0" encoding="utf-8"?>
<ds:datastoreItem xmlns:ds="http://schemas.openxmlformats.org/officeDocument/2006/customXml" ds:itemID="{FBC9AE2B-DD29-46EF-A28C-25E0AE0F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38e-93ee-4fba-a733-417b1dc1c133"/>
    <ds:schemaRef ds:uri="a9515ccf-8b3c-4dce-8969-96bbbaf5d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52200-A3C8-46C7-B573-562E64D27B6B}">
  <ds:schemaRefs>
    <ds:schemaRef ds:uri="http://schemas.microsoft.com/sharepoint/v3/contenttype/forms"/>
  </ds:schemaRefs>
</ds:datastoreItem>
</file>

<file path=customXml/itemProps3.xml><?xml version="1.0" encoding="utf-8"?>
<ds:datastoreItem xmlns:ds="http://schemas.openxmlformats.org/officeDocument/2006/customXml" ds:itemID="{50845ED3-A22A-4449-84B2-242392D8E1BC}">
  <ds:schemaRefs>
    <ds:schemaRef ds:uri="http://schemas.microsoft.com/office/2006/metadata/properties"/>
    <ds:schemaRef ds:uri="http://schemas.microsoft.com/office/infopath/2007/PartnerControls"/>
    <ds:schemaRef ds:uri="a9515ccf-8b3c-4dce-8969-96bbbaf5dc71"/>
    <ds:schemaRef ds:uri="b8a7038e-93ee-4fba-a733-417b1dc1c13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DocSecurity>0</DocSecurity>
  <Pages>1</Pages>
  <Words>236</Words>
  <Characters>1400</Characters>
  <CharactersWithSpaces>1635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2024-06-24T01:10:00Z</dcterms:created>
  <dc:creator>Douglas P Enright</dc:creator>
  <dc:description/>
  <dc:language>en-US</dc:language>
  <cp:lastModifiedBy/>
  <dcterms:modified xsi:type="dcterms:W3CDTF">2024-07-22T11:03:01Z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0x010100BAF39AC84A7A1A499984D4E36D266E1B</vt:lpwstr>
  </property>
  <property fmtid="{D5CDD505-2E9C-101B-9397-08002B2CF9AE}" pid="3" name="HyperlinksChanged">
    <vt:bool>0</vt:bool>
  </property>
  <property fmtid="{D5CDD505-2E9C-101B-9397-08002B2CF9AE}" pid="4" name="LinksUpToDate">
    <vt:bool>0</vt:bool>
  </property>
  <property fmtid="{D5CDD505-2E9C-101B-9397-08002B2CF9AE}" pid="5" name="MediaServiceImageTags">
    <vt:lpwstr/>
  </property>
  <property fmtid="{D5CDD505-2E9C-101B-9397-08002B2CF9AE}" pid="6" name="ScaleCrop">
    <vt:bool>0</vt:bool>
  </property>
  <property fmtid="{D5CDD505-2E9C-101B-9397-08002B2CF9AE}" pid="7" name="ShareDoc">
    <vt:bool>0</vt:bool>
  </property>
</Properties>
</file>